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42" w:rsidRPr="001D5942" w:rsidRDefault="001D5942" w:rsidP="001D5942">
      <w:pPr>
        <w:jc w:val="center"/>
        <w:rPr>
          <w:rFonts w:ascii="ＭＳ 明朝" w:hAnsi="ＭＳ 明朝"/>
          <w:sz w:val="24"/>
          <w:szCs w:val="24"/>
        </w:rPr>
      </w:pPr>
      <w:r w:rsidRPr="001D5942">
        <w:rPr>
          <w:rFonts w:ascii="ＭＳ 明朝" w:hAnsi="ＭＳ 明朝" w:hint="eastAsia"/>
          <w:sz w:val="24"/>
          <w:szCs w:val="24"/>
        </w:rPr>
        <w:t>しゅんせつ土砂の発生抑制・有効利用対策</w:t>
      </w:r>
    </w:p>
    <w:tbl>
      <w:tblPr>
        <w:tblW w:w="86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456"/>
      </w:tblGrid>
      <w:tr w:rsidR="005E3D4B" w:rsidTr="005E3D4B">
        <w:trPr>
          <w:trHeight w:val="435"/>
        </w:trPr>
        <w:tc>
          <w:tcPr>
            <w:tcW w:w="2145" w:type="dxa"/>
          </w:tcPr>
          <w:p w:rsidR="005E3D4B" w:rsidRDefault="005E3D4B" w:rsidP="005E3D4B">
            <w:pPr>
              <w:ind w:left="9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整理コード</w:t>
            </w:r>
          </w:p>
        </w:tc>
        <w:tc>
          <w:tcPr>
            <w:tcW w:w="6456" w:type="dxa"/>
          </w:tcPr>
          <w:p w:rsidR="005E3D4B" w:rsidRDefault="005E3D4B" w:rsidP="005E3D4B">
            <w:pPr>
              <w:ind w:left="96"/>
              <w:rPr>
                <w:rFonts w:ascii="ＭＳ 明朝" w:hAnsi="ＭＳ 明朝"/>
                <w:sz w:val="22"/>
              </w:rPr>
            </w:pPr>
          </w:p>
        </w:tc>
      </w:tr>
      <w:tr w:rsidR="005E3D4B" w:rsidTr="009B0595">
        <w:trPr>
          <w:trHeight w:val="4950"/>
        </w:trPr>
        <w:tc>
          <w:tcPr>
            <w:tcW w:w="8601" w:type="dxa"/>
            <w:gridSpan w:val="2"/>
          </w:tcPr>
          <w:p w:rsidR="005E3D4B" w:rsidRDefault="005E3D4B" w:rsidP="001D5942">
            <w:pPr>
              <w:ind w:left="96"/>
              <w:rPr>
                <w:rFonts w:ascii="ＭＳ 明朝"/>
                <w:sz w:val="22"/>
              </w:rPr>
            </w:pPr>
            <w:r w:rsidRPr="00796548">
              <w:rPr>
                <w:rFonts w:ascii="ＭＳ 明朝" w:hAnsi="ＭＳ 明朝"/>
                <w:sz w:val="22"/>
              </w:rPr>
              <w:t>(</w:t>
            </w:r>
            <w:r w:rsidRPr="00796548">
              <w:rPr>
                <w:rFonts w:ascii="ＭＳ 明朝"/>
                <w:sz w:val="22"/>
              </w:rPr>
              <w:t>1</w:t>
            </w:r>
            <w:r w:rsidRPr="00796548">
              <w:rPr>
                <w:rFonts w:ascii="ＭＳ 明朝" w:hAnsi="ＭＳ 明朝"/>
                <w:sz w:val="22"/>
              </w:rPr>
              <w:t>)</w:t>
            </w:r>
            <w:r w:rsidRPr="00796548">
              <w:rPr>
                <w:rFonts w:ascii="ＭＳ 明朝" w:hint="eastAsia"/>
                <w:sz w:val="22"/>
              </w:rPr>
              <w:t>発生抑制</w:t>
            </w:r>
            <w:r>
              <w:rPr>
                <w:rFonts w:ascii="ＭＳ 明朝" w:hint="eastAsia"/>
                <w:sz w:val="22"/>
              </w:rPr>
              <w:t>（リサイクルガイドラインより）</w:t>
            </w:r>
          </w:p>
          <w:p w:rsidR="005E3D4B" w:rsidRDefault="005E3D4B" w:rsidP="001D5942">
            <w:pPr>
              <w:ind w:left="96"/>
              <w:rPr>
                <w:rFonts w:ascii="ＭＳ 明朝"/>
                <w:sz w:val="22"/>
              </w:rPr>
            </w:pPr>
            <w:r w:rsidRPr="00796548">
              <w:rPr>
                <w:rFonts w:ascii="ＭＳ 明朝" w:hint="eastAsia"/>
                <w:sz w:val="22"/>
              </w:rPr>
              <w:t>①河川や港湾のしゅんせつに当たっては、計画的かつ最小限の施工に止め、しゅんせつ土の発生を抑制する。</w:t>
            </w:r>
          </w:p>
          <w:p w:rsidR="005E3D4B" w:rsidRDefault="005E3D4B" w:rsidP="001D5942">
            <w:pPr>
              <w:ind w:left="96"/>
              <w:rPr>
                <w:rFonts w:ascii="ＭＳ 明朝"/>
                <w:sz w:val="22"/>
              </w:rPr>
            </w:pPr>
            <w:r w:rsidRPr="00796548">
              <w:rPr>
                <w:rFonts w:ascii="ＭＳ 明朝" w:hint="eastAsia"/>
                <w:sz w:val="22"/>
              </w:rPr>
              <w:t>②河川や港湾のしゅんせつに当たっては、必要以上の余掘りを避け、しゅんせつ土の発生を抑制する。</w:t>
            </w:r>
          </w:p>
          <w:p w:rsidR="005E3D4B" w:rsidRDefault="005E3D4B" w:rsidP="001D5942">
            <w:pPr>
              <w:ind w:left="96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【本工事での対策】</w:t>
            </w:r>
          </w:p>
          <w:p w:rsidR="005E3D4B" w:rsidRDefault="005E3D4B" w:rsidP="001D5942">
            <w:pPr>
              <w:ind w:left="96"/>
              <w:rPr>
                <w:rFonts w:ascii="ＭＳ 明朝"/>
                <w:sz w:val="22"/>
              </w:rPr>
            </w:pPr>
          </w:p>
          <w:p w:rsidR="005E3D4B" w:rsidRDefault="005E3D4B" w:rsidP="001D5942">
            <w:pPr>
              <w:ind w:left="96"/>
              <w:rPr>
                <w:rFonts w:ascii="ＭＳ 明朝" w:hAnsi="ＭＳ 明朝"/>
                <w:sz w:val="22"/>
              </w:rPr>
            </w:pPr>
          </w:p>
          <w:p w:rsidR="005E3D4B" w:rsidRDefault="005E3D4B" w:rsidP="001D5942">
            <w:pPr>
              <w:ind w:left="96"/>
              <w:rPr>
                <w:rFonts w:ascii="ＭＳ 明朝" w:hAnsi="ＭＳ 明朝"/>
                <w:sz w:val="22"/>
              </w:rPr>
            </w:pPr>
          </w:p>
          <w:p w:rsidR="005E3D4B" w:rsidRDefault="005E3D4B" w:rsidP="001D5942">
            <w:pPr>
              <w:ind w:left="96"/>
              <w:rPr>
                <w:rFonts w:ascii="ＭＳ 明朝" w:hAnsi="ＭＳ 明朝"/>
                <w:sz w:val="22"/>
              </w:rPr>
            </w:pPr>
          </w:p>
          <w:p w:rsidR="005E3D4B" w:rsidRDefault="005E3D4B" w:rsidP="001D5942">
            <w:pPr>
              <w:ind w:left="96"/>
              <w:rPr>
                <w:rFonts w:ascii="ＭＳ 明朝" w:hAnsi="ＭＳ 明朝"/>
                <w:sz w:val="22"/>
              </w:rPr>
            </w:pPr>
          </w:p>
          <w:p w:rsidR="005E3D4B" w:rsidRDefault="005E3D4B" w:rsidP="001D5942">
            <w:pPr>
              <w:ind w:left="96"/>
              <w:rPr>
                <w:rFonts w:ascii="ＭＳ 明朝" w:hAnsi="ＭＳ 明朝"/>
                <w:sz w:val="22"/>
              </w:rPr>
            </w:pPr>
          </w:p>
          <w:p w:rsidR="005E3D4B" w:rsidRDefault="005E3D4B" w:rsidP="005E3D4B">
            <w:pPr>
              <w:ind w:left="96"/>
              <w:rPr>
                <w:rFonts w:ascii="ＭＳ 明朝" w:hAnsi="ＭＳ 明朝"/>
                <w:sz w:val="22"/>
              </w:rPr>
            </w:pPr>
          </w:p>
          <w:p w:rsidR="005E3D4B" w:rsidRDefault="005E3D4B" w:rsidP="005E3D4B">
            <w:pPr>
              <w:ind w:left="96"/>
              <w:rPr>
                <w:rFonts w:ascii="ＭＳ 明朝" w:hAnsi="ＭＳ 明朝"/>
                <w:sz w:val="22"/>
              </w:rPr>
            </w:pPr>
          </w:p>
        </w:tc>
      </w:tr>
      <w:tr w:rsidR="001D5942" w:rsidTr="00532E2A">
        <w:trPr>
          <w:trHeight w:val="6621"/>
        </w:trPr>
        <w:tc>
          <w:tcPr>
            <w:tcW w:w="8601" w:type="dxa"/>
            <w:gridSpan w:val="2"/>
          </w:tcPr>
          <w:p w:rsidR="001D5942" w:rsidRDefault="001D5942" w:rsidP="001D5942">
            <w:pPr>
              <w:ind w:left="96"/>
              <w:rPr>
                <w:rFonts w:ascii="ＭＳ 明朝"/>
                <w:sz w:val="22"/>
              </w:rPr>
            </w:pPr>
            <w:r w:rsidRPr="00796548">
              <w:rPr>
                <w:rFonts w:ascii="ＭＳ 明朝" w:hAnsi="ＭＳ 明朝"/>
                <w:sz w:val="22"/>
              </w:rPr>
              <w:t>(</w:t>
            </w:r>
            <w:r w:rsidRPr="00796548">
              <w:rPr>
                <w:rFonts w:ascii="ＭＳ 明朝"/>
                <w:sz w:val="22"/>
              </w:rPr>
              <w:t>2</w:t>
            </w:r>
            <w:r w:rsidRPr="00796548">
              <w:rPr>
                <w:rFonts w:ascii="ＭＳ 明朝" w:hAnsi="ＭＳ 明朝"/>
                <w:sz w:val="22"/>
              </w:rPr>
              <w:t>)</w:t>
            </w:r>
            <w:r w:rsidRPr="00796548">
              <w:rPr>
                <w:rFonts w:ascii="ＭＳ 明朝" w:hint="eastAsia"/>
                <w:sz w:val="22"/>
              </w:rPr>
              <w:t>河川事業等での活用</w:t>
            </w:r>
            <w:r w:rsidR="00577E5B">
              <w:rPr>
                <w:rFonts w:ascii="ＭＳ 明朝" w:hint="eastAsia"/>
                <w:sz w:val="22"/>
              </w:rPr>
              <w:t>（リサイクルガイドラインより）</w:t>
            </w:r>
          </w:p>
          <w:p w:rsidR="001D5942" w:rsidRDefault="001D5942" w:rsidP="001D5942">
            <w:pPr>
              <w:ind w:left="96"/>
              <w:rPr>
                <w:rFonts w:ascii="ＭＳ 明朝"/>
                <w:sz w:val="22"/>
              </w:rPr>
            </w:pPr>
            <w:r w:rsidRPr="00796548">
              <w:rPr>
                <w:rFonts w:ascii="ＭＳ 明朝" w:hint="eastAsia"/>
                <w:sz w:val="22"/>
              </w:rPr>
              <w:t>①しゅんせつ土を改良し、護岸根固め材やテラス工事の中詰材等として有効利用を促進する。</w:t>
            </w:r>
          </w:p>
          <w:p w:rsidR="001D5942" w:rsidRDefault="001D5942" w:rsidP="001D5942">
            <w:pPr>
              <w:ind w:left="96"/>
              <w:rPr>
                <w:rFonts w:ascii="ＭＳ 明朝"/>
                <w:sz w:val="22"/>
              </w:rPr>
            </w:pPr>
            <w:r w:rsidRPr="00796548">
              <w:rPr>
                <w:rFonts w:ascii="ＭＳ 明朝" w:hint="eastAsia"/>
                <w:sz w:val="22"/>
              </w:rPr>
              <w:t>②再生利用に関する技術確立に向けて、試験施工等を積極的に実施していく。</w:t>
            </w:r>
          </w:p>
          <w:p w:rsidR="001D5942" w:rsidRDefault="001D5942" w:rsidP="001D5942">
            <w:pPr>
              <w:ind w:left="96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【本工事での対策】</w:t>
            </w:r>
          </w:p>
          <w:p w:rsidR="001D5942" w:rsidRDefault="001D5942" w:rsidP="001D5942">
            <w:pPr>
              <w:ind w:left="9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・工種</w:t>
            </w:r>
          </w:p>
          <w:p w:rsidR="001D5942" w:rsidRDefault="001D5942" w:rsidP="001D5942">
            <w:pPr>
              <w:ind w:left="96"/>
              <w:rPr>
                <w:rFonts w:ascii="ＭＳ 明朝" w:hAnsi="ＭＳ 明朝"/>
                <w:sz w:val="22"/>
              </w:rPr>
            </w:pPr>
          </w:p>
          <w:p w:rsidR="001D5942" w:rsidRDefault="001D5942" w:rsidP="001D5942">
            <w:pPr>
              <w:ind w:left="96"/>
              <w:rPr>
                <w:rFonts w:ascii="ＭＳ 明朝" w:hAnsi="ＭＳ 明朝"/>
                <w:sz w:val="22"/>
              </w:rPr>
            </w:pPr>
          </w:p>
          <w:p w:rsidR="001D5942" w:rsidRDefault="001D5942" w:rsidP="001D5942">
            <w:pPr>
              <w:ind w:left="96"/>
              <w:rPr>
                <w:rFonts w:ascii="ＭＳ 明朝" w:hAnsi="ＭＳ 明朝"/>
                <w:sz w:val="22"/>
              </w:rPr>
            </w:pPr>
          </w:p>
          <w:p w:rsidR="001D5942" w:rsidRDefault="001D5942" w:rsidP="001D5942">
            <w:pPr>
              <w:ind w:left="96"/>
              <w:rPr>
                <w:rFonts w:ascii="ＭＳ 明朝" w:hAnsi="ＭＳ 明朝"/>
                <w:sz w:val="22"/>
              </w:rPr>
            </w:pPr>
          </w:p>
          <w:p w:rsidR="001D5942" w:rsidRDefault="001D5942" w:rsidP="001D5942">
            <w:pPr>
              <w:ind w:left="96"/>
              <w:rPr>
                <w:rFonts w:ascii="ＭＳ 明朝" w:hAnsi="ＭＳ 明朝"/>
                <w:sz w:val="22"/>
              </w:rPr>
            </w:pPr>
          </w:p>
          <w:p w:rsidR="001D5942" w:rsidRPr="00796548" w:rsidRDefault="001D5942" w:rsidP="001D5942">
            <w:pPr>
              <w:ind w:left="9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・有効利用量</w:t>
            </w:r>
          </w:p>
        </w:tc>
      </w:tr>
    </w:tbl>
    <w:p w:rsidR="00B62875" w:rsidRDefault="00B62875" w:rsidP="001D5942">
      <w:pPr>
        <w:jc w:val="left"/>
        <w:rPr>
          <w:rFonts w:hint="eastAsia"/>
        </w:rPr>
      </w:pPr>
      <w:bookmarkStart w:id="0" w:name="_GoBack"/>
      <w:bookmarkEnd w:id="0"/>
    </w:p>
    <w:sectPr w:rsidR="00B6287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3FE" w:rsidRDefault="002153FE" w:rsidP="009B0595">
      <w:r>
        <w:separator/>
      </w:r>
    </w:p>
  </w:endnote>
  <w:endnote w:type="continuationSeparator" w:id="0">
    <w:p w:rsidR="002153FE" w:rsidRDefault="002153FE" w:rsidP="009B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3FE" w:rsidRDefault="002153FE" w:rsidP="009B0595">
      <w:r>
        <w:separator/>
      </w:r>
    </w:p>
  </w:footnote>
  <w:footnote w:type="continuationSeparator" w:id="0">
    <w:p w:rsidR="002153FE" w:rsidRDefault="002153FE" w:rsidP="009B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95" w:rsidRPr="00C87FBC" w:rsidRDefault="009B0595" w:rsidP="009B0595">
    <w:pPr>
      <w:pStyle w:val="a3"/>
      <w:jc w:val="right"/>
      <w:rPr>
        <w:b/>
        <w:sz w:val="32"/>
        <w:szCs w:val="32"/>
      </w:rPr>
    </w:pPr>
    <w:r w:rsidRPr="00C87FBC">
      <w:rPr>
        <w:rFonts w:hint="eastAsia"/>
        <w:b/>
        <w:sz w:val="32"/>
        <w:szCs w:val="32"/>
      </w:rPr>
      <w:t>様式－２</w:t>
    </w:r>
  </w:p>
  <w:p w:rsidR="009B0595" w:rsidRDefault="009B05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2A"/>
    <w:rsid w:val="00177D8E"/>
    <w:rsid w:val="001D5942"/>
    <w:rsid w:val="002153FE"/>
    <w:rsid w:val="00532E2A"/>
    <w:rsid w:val="00577E5B"/>
    <w:rsid w:val="005E3D4B"/>
    <w:rsid w:val="00811EC1"/>
    <w:rsid w:val="009B0595"/>
    <w:rsid w:val="00A00C2A"/>
    <w:rsid w:val="00A13C74"/>
    <w:rsid w:val="00AF77B3"/>
    <w:rsid w:val="00B62875"/>
    <w:rsid w:val="00C87FBC"/>
    <w:rsid w:val="00E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C75C04"/>
  <w15:docId w15:val="{5CB28A38-8B7D-4C8A-9615-7BA2F31A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5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595"/>
  </w:style>
  <w:style w:type="paragraph" w:styleId="a5">
    <w:name w:val="footer"/>
    <w:basedOn w:val="a"/>
    <w:link w:val="a6"/>
    <w:uiPriority w:val="99"/>
    <w:unhideWhenUsed/>
    <w:rsid w:val="009B0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595"/>
  </w:style>
  <w:style w:type="paragraph" w:styleId="a7">
    <w:name w:val="Balloon Text"/>
    <w:basedOn w:val="a"/>
    <w:link w:val="a8"/>
    <w:uiPriority w:val="99"/>
    <w:semiHidden/>
    <w:unhideWhenUsed/>
    <w:rsid w:val="009B0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05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mitito</dc:creator>
  <cp:lastModifiedBy>手島　道人</cp:lastModifiedBy>
  <cp:revision>4</cp:revision>
  <cp:lastPrinted>2020-10-05T06:42:00Z</cp:lastPrinted>
  <dcterms:created xsi:type="dcterms:W3CDTF">2023-02-08T01:30:00Z</dcterms:created>
  <dcterms:modified xsi:type="dcterms:W3CDTF">2023-02-16T05:20:00Z</dcterms:modified>
</cp:coreProperties>
</file>